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pacing w:lineRule="auto" w:line="240" w:before="120" w:after="120"/>
        <w:jc w:val="center"/>
        <w:rPr>
          <w:rFonts w:ascii="Arial" w:hAnsi="Arial" w:eastAsia="Times New Roman" w:cs="Arial"/>
          <w:b/>
          <w:b/>
          <w:sz w:val="28"/>
          <w:szCs w:val="20"/>
        </w:rPr>
      </w:pPr>
      <w:r>
        <w:rPr>
          <w:rFonts w:eastAsia="Times New Roman" w:cs="Arial" w:ascii="Arial" w:hAnsi="Arial"/>
          <w:b/>
          <w:sz w:val="28"/>
          <w:szCs w:val="20"/>
        </w:rPr>
        <w:t>Scheda informativa n. 14.1</w:t>
      </w:r>
    </w:p>
    <w:p>
      <w:pPr>
        <w:pStyle w:val="Normal"/>
        <w:widowControl w:val="false"/>
        <w:spacing w:lineRule="auto" w:line="240" w:before="120" w:after="120"/>
        <w:jc w:val="center"/>
        <w:rPr>
          <w:rFonts w:ascii="Arial" w:hAnsi="Arial" w:eastAsia="Times New Roman" w:cs="Arial"/>
          <w:b/>
          <w:b/>
          <w:sz w:val="32"/>
          <w:szCs w:val="20"/>
        </w:rPr>
      </w:pPr>
      <w:r>
        <w:rPr>
          <w:rFonts w:eastAsia="Times New Roman" w:cs="Arial" w:ascii="Arial" w:hAnsi="Arial"/>
          <w:b/>
          <w:sz w:val="32"/>
          <w:szCs w:val="20"/>
        </w:rPr>
        <w:t>Locali di stallaggio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TIPOLOGIE DI PRATICHE: </w:t>
      </w:r>
    </w:p>
    <w:p>
      <w:pPr>
        <w:pStyle w:val="Normal"/>
        <w:widowControl w:val="false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Le tipologie </w:t>
      </w:r>
      <w:r>
        <w:rPr>
          <w:rFonts w:eastAsia="Times New Roman" w:cs="Arial" w:ascii="Arial" w:hAnsi="Arial"/>
          <w:sz w:val="20"/>
          <w:szCs w:val="20"/>
          <w:lang w:eastAsia="it-IT"/>
        </w:rPr>
        <w:t>di pratiche in cui si articola l’attività di stallaggio sono le seguenti:</w:t>
      </w:r>
    </w:p>
    <w:p>
      <w:pPr>
        <w:pStyle w:val="Normal"/>
        <w:widowControl w:val="false"/>
        <w:numPr>
          <w:ilvl w:val="0"/>
          <w:numId w:val="3"/>
        </w:numPr>
        <w:suppressAutoHyphens w:val="false"/>
        <w:spacing w:lineRule="auto" w:line="240" w:before="120" w:after="120"/>
        <w:ind w:left="720" w:hanging="357"/>
        <w:jc w:val="both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>avvio dell’attività;</w:t>
      </w:r>
    </w:p>
    <w:p>
      <w:pPr>
        <w:pStyle w:val="Normal"/>
        <w:widowControl w:val="false"/>
        <w:numPr>
          <w:ilvl w:val="0"/>
          <w:numId w:val="3"/>
        </w:numPr>
        <w:suppressAutoHyphens w:val="false"/>
        <w:spacing w:lineRule="auto" w:line="240" w:before="120" w:after="12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subingresso;</w:t>
      </w:r>
    </w:p>
    <w:p>
      <w:pPr>
        <w:pStyle w:val="Normal"/>
        <w:widowControl w:val="false"/>
        <w:numPr>
          <w:ilvl w:val="0"/>
          <w:numId w:val="3"/>
        </w:numPr>
        <w:suppressAutoHyphens w:val="false"/>
        <w:spacing w:lineRule="auto" w:line="240" w:before="120" w:after="12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cessazione dell’attività.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sz w:val="20"/>
          <w:szCs w:val="20"/>
        </w:rPr>
        <w:t>DESTINATARI</w:t>
      </w:r>
    </w:p>
    <w:p>
      <w:pPr>
        <w:pStyle w:val="Normal"/>
        <w:shd w:fill="FFFFFF" w:val="clear"/>
        <w:suppressAutoHyphens w:val="false"/>
        <w:spacing w:lineRule="auto" w:line="240"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Imprese che intendono avviare attività di stallaggio.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sz w:val="20"/>
          <w:szCs w:val="20"/>
        </w:rPr>
        <w:t>DESCRIZIONE</w:t>
      </w:r>
    </w:p>
    <w:p>
      <w:pPr>
        <w:pStyle w:val="Normal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>Per attività di stallaggio si intende il servizio di ricovero di animali, permanente o temporaneo, di proprietà del titolare o di terzi (ad es. maneggio o scuderia, pensione per animali, etc.).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NORMATIVA DI RIFERIMENTO</w:t>
      </w:r>
    </w:p>
    <w:p>
      <w:pPr>
        <w:pStyle w:val="Normal"/>
        <w:widowControl w:val="false"/>
        <w:numPr>
          <w:ilvl w:val="0"/>
          <w:numId w:val="5"/>
        </w:numPr>
        <w:suppressAutoHyphens w:val="false"/>
        <w:spacing w:lineRule="auto" w:line="240" w:before="100" w:after="100"/>
        <w:ind w:left="720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Testo Unico delle Leggi di Pubblica Sicurezza (R.D. n. 773/1931)</w:t>
      </w:r>
      <w:bookmarkStart w:id="0" w:name="inizio"/>
      <w:bookmarkEnd w:id="0"/>
      <w:r>
        <w:rPr>
          <w:rFonts w:eastAsia="Times New Roman" w:cs="Arial" w:ascii="Arial" w:hAnsi="Arial"/>
          <w:bCs/>
          <w:sz w:val="20"/>
          <w:szCs w:val="20"/>
          <w:lang w:eastAsia="it-IT"/>
        </w:rPr>
        <w:t>;</w:t>
      </w:r>
    </w:p>
    <w:p>
      <w:pPr>
        <w:pStyle w:val="Normal"/>
        <w:widowControl w:val="false"/>
        <w:numPr>
          <w:ilvl w:val="0"/>
          <w:numId w:val="5"/>
        </w:numPr>
        <w:suppressAutoHyphens w:val="false"/>
        <w:spacing w:lineRule="auto" w:line="240" w:before="100" w:after="100"/>
        <w:ind w:left="720" w:hanging="357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Regolamento per l’esecuzione del T.U.L.P.S. (R.D. n. 635/1940);</w:t>
      </w:r>
    </w:p>
    <w:p>
      <w:pPr>
        <w:pStyle w:val="Normal"/>
        <w:widowControl w:val="false"/>
        <w:numPr>
          <w:ilvl w:val="0"/>
          <w:numId w:val="5"/>
        </w:numPr>
        <w:suppressAutoHyphens w:val="false"/>
        <w:spacing w:lineRule="auto" w:line="240" w:before="100" w:after="100"/>
        <w:ind w:left="720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D.P.R. n. 616/1977;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suppressAutoHyphens w:val="false"/>
        <w:spacing w:lineRule="auto" w:line="240" w:before="100" w:after="10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Legge n. 241/1990; D.lgs. n. 126/2016; D.lgs. n. 222/2016;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suppressAutoHyphens w:val="false"/>
        <w:spacing w:lineRule="auto" w:line="240" w:before="100" w:after="100"/>
        <w:ind w:left="720" w:hanging="357"/>
        <w:jc w:val="both"/>
        <w:rPr/>
      </w:pPr>
      <w:r>
        <w:rPr>
          <w:rFonts w:cs="Arial" w:ascii="Arial" w:hAnsi="Arial"/>
          <w:sz w:val="20"/>
          <w:szCs w:val="20"/>
        </w:rPr>
        <w:t>D.lgs.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n. 159/2011 “</w:t>
      </w:r>
      <w:r>
        <w:rPr>
          <w:rFonts w:eastAsia="Times New Roman" w:cs="Arial" w:ascii="Arial" w:hAnsi="Arial"/>
          <w:i/>
          <w:sz w:val="20"/>
          <w:szCs w:val="20"/>
          <w:lang w:eastAsia="it-IT"/>
        </w:rPr>
        <w:t>Codice delle leggi antimafia e delle misure di prevenzione…</w:t>
      </w:r>
      <w:r>
        <w:rPr>
          <w:rFonts w:eastAsia="Times New Roman" w:cs="Arial" w:ascii="Arial" w:hAnsi="Arial"/>
          <w:sz w:val="20"/>
          <w:szCs w:val="20"/>
          <w:lang w:eastAsia="it-IT"/>
        </w:rPr>
        <w:t>”.</w:t>
      </w:r>
    </w:p>
    <w:p>
      <w:pPr>
        <w:pStyle w:val="Normal"/>
        <w:widowControl w:val="false"/>
        <w:shd w:fill="FFFFFF" w:val="clear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ADEMPIMENTI E MODALITÀ DI AVVIO DELL’ATTIVITÀ</w:t>
      </w:r>
    </w:p>
    <w:p>
      <w:pPr>
        <w:pStyle w:val="Normal"/>
        <w:shd w:fill="FFFFFF" w:val="clear"/>
        <w:suppressAutoHyphens w:val="false"/>
        <w:spacing w:lineRule="auto" w:line="240" w:before="100" w:after="100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Preliminarmente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è necessario</w:t>
      </w:r>
      <w:r>
        <w:rPr>
          <w:rFonts w:eastAsia="Times New Roman" w:cs="Arial" w:ascii="Arial" w:hAnsi="Arial"/>
          <w:sz w:val="20"/>
          <w:szCs w:val="20"/>
          <w:lang w:eastAsia="it-IT"/>
        </w:rPr>
        <w:t>:</w:t>
      </w:r>
    </w:p>
    <w:p>
      <w:pPr>
        <w:pStyle w:val="Normal"/>
        <w:widowControl w:val="false"/>
        <w:numPr>
          <w:ilvl w:val="0"/>
          <w:numId w:val="1"/>
        </w:numPr>
        <w:shd w:fill="FFFFFF" w:val="clear"/>
        <w:suppressAutoHyphens w:val="false"/>
        <w:spacing w:lineRule="auto" w:line="240" w:before="100" w:after="100"/>
        <w:ind w:left="720" w:hanging="357"/>
        <w:jc w:val="both"/>
        <w:rPr/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costituire una impresa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in forma individuale o societaria o cooperativa;</w:t>
      </w:r>
    </w:p>
    <w:p>
      <w:pPr>
        <w:pStyle w:val="Normal"/>
        <w:widowControl w:val="false"/>
        <w:numPr>
          <w:ilvl w:val="0"/>
          <w:numId w:val="1"/>
        </w:numPr>
        <w:shd w:fill="FFFFFF" w:val="clear"/>
        <w:suppressAutoHyphens w:val="false"/>
        <w:spacing w:lineRule="auto" w:line="240" w:before="100" w:after="10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procedere all’iscrizione all’Albo delle Imprese</w:t>
      </w:r>
      <w:r>
        <w:rPr>
          <w:rFonts w:eastAsia="Times New Roman" w:cs="Arial" w:ascii="Arial" w:hAnsi="Arial"/>
          <w:sz w:val="20"/>
          <w:szCs w:val="20"/>
          <w:lang w:eastAsia="it-IT"/>
        </w:rPr>
        <w:t>.</w:t>
      </w:r>
    </w:p>
    <w:p>
      <w:pPr>
        <w:pStyle w:val="Normal"/>
        <w:shd w:fill="FFFFFF" w:val="clear"/>
        <w:spacing w:lineRule="auto" w:line="240" w:before="100" w:after="10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Ai sensi dell’art. 2, commi 2 e 4 del D.lgs. n. 126/2016:</w:t>
      </w:r>
    </w:p>
    <w:p>
      <w:pPr>
        <w:pStyle w:val="Normal"/>
        <w:widowControl w:val="false"/>
        <w:numPr>
          <w:ilvl w:val="0"/>
          <w:numId w:val="4"/>
        </w:numPr>
        <w:shd w:fill="FFFFFF" w:val="clear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</w:t>
      </w:r>
      <w:r>
        <w:rPr>
          <w:rFonts w:eastAsia="Times New Roman" w:cs="Arial" w:ascii="Arial" w:hAnsi="Arial"/>
          <w:sz w:val="20"/>
          <w:szCs w:val="20"/>
          <w:lang w:eastAsia="it-IT"/>
        </w:rPr>
        <w:t>’avvio dell’attività e le vicende successive sono subordinate alla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compilazione 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degli specifici moduli,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disponibili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 xml:space="preserve">sul sito istituzionale del Comune, da presentare esclusivamente in modalità telematica allo Sportello Unico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del Comune stesso;</w:t>
      </w:r>
    </w:p>
    <w:p>
      <w:pPr>
        <w:pStyle w:val="Normal"/>
        <w:widowControl w:val="false"/>
        <w:numPr>
          <w:ilvl w:val="0"/>
          <w:numId w:val="4"/>
        </w:numPr>
        <w:shd w:fill="FFFFFF" w:val="clear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il Comune può chiedere agli interessati informazioni/documenti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solo in caso di mancata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corrispondenza del contenuto della Segnalazione/Comunicazione e relativi allegati, ai moduli ed elenchi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pubblicati sul proprio sito istituzionale.</w:t>
      </w:r>
    </w:p>
    <w:p>
      <w:pPr>
        <w:pStyle w:val="Normal"/>
        <w:widowControl w:val="false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Qualora la Segnalazione/Comunicazione difetti degli elementi essenziali non potrà essere esaminata e, pertanto, sarà dichiarata irricevibile e archiviata.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REGIME AMMINISTRATIVO E CONCENTRAZIONE DEI REGIMI AMMINISTRATIVI</w:t>
      </w:r>
    </w:p>
    <w:p>
      <w:pPr>
        <w:pStyle w:val="Normal"/>
        <w:widowControl w:val="false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Ai sensi dell’art. 19bis, L. n. 241/1990, la pratica deve essere presentata allo Sportello Unico del Comune, anche in caso di procedimenti connessi di competenza di altre amministrazioni o diverse articolazioni interne dell’amministrazione ricevente.</w:t>
      </w:r>
    </w:p>
    <w:p>
      <w:pPr>
        <w:pStyle w:val="Normal"/>
        <w:widowControl w:val="false"/>
        <w:spacing w:lineRule="auto" w:line="240" w:before="120" w:after="120"/>
        <w:jc w:val="both"/>
        <w:rPr/>
      </w:pPr>
      <w:r>
        <w:rPr/>
        <w:t>Per ciascuna tipologia di attività di cui alla presente Scheda informativa, la Tabella seguente illustra il regime amministrativo cui è soggetta, il regime amministrativo applicabile in caso di concentrazione con altre attività e i riferimenti normativi: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39"/>
        <w:gridCol w:w="2334"/>
        <w:gridCol w:w="1961"/>
        <w:gridCol w:w="2518"/>
        <w:gridCol w:w="2611"/>
      </w:tblGrid>
      <w:tr>
        <w:trPr/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suppressAutoHyphens w:val="false"/>
              <w:spacing w:lineRule="auto" w:line="240" w:before="100" w:after="10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REGIME AMMINISTRATIVO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CONCENTRAZIONE DEI REGIMI AMMINISTRATIVI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RIFERIMENTI NORMATIVI</w:t>
            </w:r>
          </w:p>
        </w:tc>
      </w:tr>
      <w:tr>
        <w:trPr>
          <w:trHeight w:val="218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Avvio dell’attività</w:t>
            </w: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SCIA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La SCIA svolge anche la funzione di autorizzazione per i fini di cui all’art. 86 TULPS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240" w:before="100" w:after="10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Testo Unico delle Leggi di Pubblica Sicurezza di cui al R.D. n. 773/1931, art. 86, c.1, secondo periodo</w:t>
            </w:r>
          </w:p>
          <w:p>
            <w:pPr>
              <w:pStyle w:val="Normal"/>
              <w:suppressAutoHyphens w:val="false"/>
              <w:autoSpaceDE w:val="false"/>
              <w:spacing w:lineRule="auto" w:line="240" w:before="100" w:after="10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D.P.R. n. 616/1977, art. 19, c.4</w:t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Subingresso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Comunicazione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Cessazione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00" w:after="10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Comunicazione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00" w:after="10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</w:tr>
    </w:tbl>
    <w:p>
      <w:pPr>
        <w:pStyle w:val="Normal"/>
        <w:shd w:fill="FFFFFF" w:val="clear"/>
        <w:suppressAutoHyphens w:val="false"/>
        <w:spacing w:lineRule="auto" w:line="240" w:before="240" w:after="120"/>
        <w:ind w:right="-142" w:hanging="0"/>
        <w:jc w:val="both"/>
        <w:rPr/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Alla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presentazione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della Segnalazione/Comunicazione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è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rilasciata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immediatamente ricevuta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, </w:t>
      </w:r>
      <w:r>
        <w:rPr>
          <w:rFonts w:eastAsia="Times New Roman" w:cs="Arial" w:ascii="Arial" w:hAnsi="Arial"/>
          <w:bCs/>
          <w:sz w:val="20"/>
          <w:szCs w:val="20"/>
          <w:highlight w:val="lightGray"/>
          <w:lang w:eastAsia="it-IT"/>
        </w:rPr>
        <w:t>anche in via telematica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, la cui protocollazione coincide con l’effettiva presentazione da parte dell’interessato</w:t>
      </w:r>
      <w:r>
        <w:rPr>
          <w:rStyle w:val="FootnoteAnchor"/>
          <w:rFonts w:eastAsia="Times New Roman" w:cs="Arial" w:ascii="Arial" w:hAnsi="Arial"/>
          <w:bCs/>
          <w:sz w:val="20"/>
          <w:szCs w:val="20"/>
          <w:vertAlign w:val="superscript"/>
          <w:lang w:eastAsia="it-IT"/>
        </w:rPr>
        <w:footnoteReference w:id="2"/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, con indicazione dei termini entro cui l’Amministrazione è tenuta, ove previsto, a rispondere o entro cui il silenzio equivale ad accoglimento dell’istanza. In caso di pratiche presentate ad ufficio diverso da quello competente, i termini dei controlli ex artt. 19, c.3, L. n. 241/90, decorrono dal loro ricevimento da parte dell’ufficio competente (art. 18-bis, L. n. 241/90).</w:t>
      </w:r>
    </w:p>
    <w:p>
      <w:pPr>
        <w:pStyle w:val="Normal"/>
        <w:widowControl w:val="false"/>
        <w:suppressAutoHyphens w:val="false"/>
        <w:spacing w:lineRule="auto" w:line="240" w:before="120" w:after="240"/>
        <w:jc w:val="both"/>
        <w:rPr>
          <w:rFonts w:cs="Arial"/>
        </w:rPr>
      </w:pPr>
      <w:r>
        <w:rPr>
          <w:rFonts w:eastAsia="Arial" w:cs="Arial" w:ascii="Arial" w:hAnsi="Arial"/>
          <w:b/>
          <w:sz w:val="20"/>
          <w:szCs w:val="20"/>
          <w:lang w:eastAsia="it-IT"/>
        </w:rPr>
        <w:t>Elenco stati, qualità personali, fatti oggetto di dichiarazione sostitutiva necessari a corredo della Segnalazione/Comunicazione, con indicazione delle norme che ne prevedono la produzione</w:t>
      </w:r>
      <w:r>
        <w:rPr>
          <w:rFonts w:eastAsia="Arial" w:cs="Arial" w:ascii="Arial" w:hAnsi="Arial"/>
          <w:sz w:val="20"/>
          <w:szCs w:val="20"/>
          <w:lang w:eastAsia="it-IT"/>
        </w:rPr>
        <w:t xml:space="preserve"> (a</w:t>
      </w:r>
      <w:r>
        <w:rPr>
          <w:rFonts w:eastAsia="Arial" w:cs="Arial" w:ascii="Arial" w:hAnsi="Arial"/>
          <w:bCs/>
          <w:sz w:val="20"/>
          <w:szCs w:val="20"/>
          <w:lang w:eastAsia="it-IT"/>
        </w:rPr>
        <w:t>rt. 2,.c2, D.lgs. n. 126/2016</w:t>
      </w:r>
      <w:r>
        <w:rPr>
          <w:rFonts w:eastAsia="Arial" w:cs="Arial" w:ascii="Arial" w:hAnsi="Arial"/>
          <w:sz w:val="20"/>
          <w:szCs w:val="20"/>
          <w:lang w:eastAsia="it-IT"/>
        </w:rPr>
        <w:t xml:space="preserve">). 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570"/>
        <w:gridCol w:w="4293"/>
      </w:tblGrid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Stati, qualità personali e fatti oggetto di dichiarazione sostitutiva necessari a corredo della Segnalazione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Norme che ne prevedono la produzione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Dati identificativi dell’impresa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7371" w:leader="none"/>
                <w:tab w:val="left" w:pos="9639" w:leader="none"/>
              </w:tabs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t xml:space="preserve">Art. 2195 codice 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Arial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Qualità rivestita dal titolare dell’impresa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uppressAutoHyphens w:val="false"/>
              <w:spacing w:lineRule="auto" w:line="240" w:before="120" w:after="120"/>
              <w:outlineLvl w:val="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2082 codice civile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Natura, ubicazione e insegna dell'esercizio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152, regolamento per l’esecuzione del TULPS (R.D. n. 635/1940)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Rispetto norme urbanistiche, edilizie, di destinazione d’uso e igienico-sanitarie</w:t>
            </w:r>
            <w:r>
              <w:rPr>
                <w:rStyle w:val="FootnoteCharacters"/>
                <w:rStyle w:val="FootnoteAnchor"/>
                <w:rFonts w:eastAsia="Times New Roman" w:cs="Arial" w:ascii="Arial" w:hAnsi="Arial"/>
                <w:sz w:val="20"/>
                <w:szCs w:val="20"/>
                <w:lang w:eastAsia="it-IT"/>
              </w:rPr>
              <w:footnoteReference w:id="3"/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Disposizioni urbanistiche e igienico-sanitarie comunali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Assenza cause di divieto, decadenza o sospensione di cui al libro primo, titolo primo, D.lgs. N.159/2011 (Legge antimafia)</w:t>
            </w:r>
            <w:r>
              <w:rPr>
                <w:rStyle w:val="FootnoteCharacters"/>
                <w:rStyle w:val="FootnoteAnchor"/>
                <w:rFonts w:eastAsia="Times New Roman" w:cs="Arial" w:ascii="Arial" w:hAnsi="Arial"/>
                <w:sz w:val="20"/>
                <w:szCs w:val="20"/>
                <w:lang w:eastAsia="it-IT"/>
              </w:rPr>
              <w:footnoteReference w:id="4"/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Arial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Art. 67, c.1, lett. A), D. Lgs N. 159/2011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spacing w:lineRule="auto" w:line="240" w:before="120" w:after="120"/>
              <w:ind w:left="0" w:hanging="0"/>
              <w:contextualSpacing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Insussistenza condizioni previste dagli art. 11 e 92 del TULPS</w:t>
            </w:r>
            <w:r>
              <w:rPr>
                <w:rStyle w:val="FootnoteCharacters"/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 </w:t>
            </w:r>
            <w:r>
              <w:rPr>
                <w:rStyle w:val="FootnoteCharacters"/>
                <w:rStyle w:val="FootnoteAnchor"/>
                <w:rFonts w:eastAsia="Times New Roman" w:cs="Arial" w:ascii="Arial" w:hAnsi="Arial"/>
                <w:sz w:val="20"/>
                <w:szCs w:val="20"/>
                <w:lang w:eastAsia="it-IT"/>
              </w:rPr>
              <w:footnoteReference w:id="5"/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Artt. 11 e 92, TULPS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Conformità attrezzature alle prescrizioni delle vigenti normative</w:t>
            </w:r>
            <w:r>
              <w:rPr>
                <w:rStyle w:val="FootnoteCharacters"/>
                <w:rStyle w:val="FootnoteAnchor"/>
                <w:rFonts w:eastAsia="Times New Roman" w:cs="Arial" w:ascii="Arial" w:hAnsi="Arial"/>
                <w:sz w:val="20"/>
                <w:szCs w:val="20"/>
                <w:lang w:eastAsia="it-IT"/>
              </w:rPr>
              <w:footnoteReference w:id="6"/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Normative di sicurezza e igienico-sanitarie settoriali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Rispetto norme sulla sicurezza nei luoghi di lavoro</w:t>
            </w:r>
            <w:r>
              <w:rPr>
                <w:rStyle w:val="FootnoteCharacters"/>
                <w:rStyle w:val="FootnoteAnchor"/>
                <w:rFonts w:eastAsia="Times New Roman" w:cs="Arial" w:ascii="Arial" w:hAnsi="Arial"/>
                <w:sz w:val="20"/>
                <w:szCs w:val="20"/>
                <w:lang w:eastAsia="it-IT"/>
              </w:rPr>
              <w:footnoteReference w:id="7"/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D.lgs. N. 81/2008</w:t>
            </w:r>
          </w:p>
        </w:tc>
      </w:tr>
      <w:tr>
        <w:trPr>
          <w:trHeight w:val="234" w:hRule="atLeast"/>
        </w:trPr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Prestazione del consenso al trattamento dei dati personali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Art. 13, D. Lgs. N. 196/2003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eastAsia="it-IT"/>
              </w:rPr>
              <w:t xml:space="preserve">Dichiarazione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eastAsia="it-IT"/>
              </w:rPr>
              <w:t>rispetto disposizioni D.P.R. n. 445/2000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val="en-US" w:eastAsia="it-IT"/>
              </w:rPr>
              <w:t>Art. 71 e ss., DPR n. 445/2000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Dichiarazioni persone tenute (amministratori, soci) – solo per società, associazioni, organismi collettivi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Artt. 67 e 85, 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D. Lgs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 N. 159/2011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Impegno ad allegare copia della documentazione richiesta dalla modulistica comunale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Arial" w:cs="Arial" w:ascii="Arial" w:hAnsi="Arial"/>
                <w:sz w:val="20"/>
                <w:szCs w:val="20"/>
                <w:lang w:val="en-US" w:eastAsia="it-IT"/>
              </w:rPr>
              <w:t xml:space="preserve">Art. 2, c.2, 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D. Lgs</w:t>
            </w:r>
            <w:r>
              <w:rPr>
                <w:rFonts w:eastAsia="Arial" w:cs="Arial" w:ascii="Arial" w:hAnsi="Arial"/>
                <w:sz w:val="20"/>
                <w:szCs w:val="20"/>
                <w:lang w:val="en-US" w:eastAsia="it-IT"/>
              </w:rPr>
              <w:t xml:space="preserve"> N. 126/2016</w:t>
            </w:r>
          </w:p>
        </w:tc>
      </w:tr>
    </w:tbl>
    <w:p>
      <w:pPr>
        <w:pStyle w:val="Normal"/>
        <w:widowControl w:val="false"/>
        <w:spacing w:lineRule="auto" w:line="240" w:before="240" w:after="240"/>
        <w:jc w:val="both"/>
        <w:rPr/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N.B. Per questa tipologia di attività non sono previste attestazioni/asseverazioni di tecnici abilitati/dichiarazioni di conformità delle Agenzie delle imprese, necessari a corredo della Segnalazione/Comunicazione.</w:t>
      </w:r>
    </w:p>
    <w:p>
      <w:pPr>
        <w:pStyle w:val="Normal"/>
        <w:widowControl w:val="false"/>
        <w:shd w:fill="FFFFFF" w:val="clear"/>
        <w:spacing w:lineRule="auto" w:line="240" w:before="240" w:after="24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DOCUMENTAZIONE DA ALLEGARE</w:t>
      </w:r>
      <w:r>
        <w:rPr>
          <w:rStyle w:val="FootnoteAnchor"/>
          <w:rFonts w:eastAsia="Times New Roman" w:cs="Arial" w:ascii="Arial" w:hAnsi="Arial"/>
          <w:sz w:val="20"/>
          <w:szCs w:val="20"/>
          <w:vertAlign w:val="superscript"/>
          <w:lang w:eastAsia="it-IT"/>
        </w:rPr>
        <w:footnoteReference w:id="8"/>
      </w:r>
    </w:p>
    <w:p>
      <w:pPr>
        <w:pStyle w:val="Normal"/>
        <w:widowControl w:val="false"/>
        <w:spacing w:lineRule="auto" w:line="240" w:before="240" w:after="240"/>
        <w:jc w:val="both"/>
        <w:rPr>
          <w:rFonts w:cs="Arial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Documentazione da allegare alla SCIA (a pena di irricevibilità):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572"/>
        <w:gridCol w:w="4854"/>
        <w:gridCol w:w="3437"/>
      </w:tblGrid>
      <w:tr>
        <w:trPr>
          <w:trHeight w:val="293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Allegati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Denominazione allegato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Casi in cui è previsto l’allegato</w:t>
            </w:r>
          </w:p>
        </w:tc>
      </w:tr>
      <w:tr>
        <w:trPr>
          <w:trHeight w:val="356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Procura/Delega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procura/delega a presentare la segnalazione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del documento di identità del/i titolare/i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in cui la segnalazione non sia sottoscritta in forma digitale e in assenza di procura</w:t>
            </w:r>
          </w:p>
        </w:tc>
      </w:tr>
      <w:tr>
        <w:trPr>
          <w:trHeight w:val="106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permesso di soggiorno o carta di soggiorno del firmatario (se il permesso scade entro 30 giorni: copia della ricevuta della richiesta di rinnovo)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Nel caso di cittadini extracomunitari 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/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Dichiarazioni sul possesso dei requisiti da parte degli altri soci (allegato A del modello + copia del documento d’identità)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Sempre, in presenza di soggetti (ad es. soci) diversi dal dichiarante</w:t>
            </w:r>
          </w:p>
        </w:tc>
      </w:tr>
    </w:tbl>
    <w:p>
      <w:pPr>
        <w:pStyle w:val="Normal"/>
        <w:widowControl w:val="false"/>
        <w:spacing w:lineRule="auto" w:line="240" w:before="240" w:after="240"/>
        <w:jc w:val="both"/>
        <w:rPr>
          <w:rFonts w:cs="Arial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Documentazione da allegare alla Comunicazione (a pena di irricevibilità):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572"/>
        <w:gridCol w:w="4828"/>
        <w:gridCol w:w="3463"/>
      </w:tblGrid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Allegati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Denominazione allegato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Casi in cui è previsto l’allegato</w:t>
            </w:r>
          </w:p>
        </w:tc>
      </w:tr>
      <w:tr>
        <w:trPr>
          <w:trHeight w:val="437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Procura/Delega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procura/delega a presentare la comunicazione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documento di identità del/i titolare/i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in cui la comunicazione non sia sottoscritta in forma digitale e in assenza di procura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permesso di soggiorno o carta di soggiorno del firmatario (se il permesso scade entro 30 giorni: copia della ricevuta della richiesta di rinnovo)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cittadini extracomunitari</w:t>
            </w:r>
          </w:p>
        </w:tc>
      </w:tr>
      <w:tr>
        <w:trPr>
          <w:trHeight w:val="394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Dichiarazione da parte del Notaio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in cui l’atto alla base del subingresso sia in corso di registrazione</w:t>
            </w:r>
          </w:p>
        </w:tc>
      </w:tr>
      <w:tr>
        <w:trPr>
          <w:trHeight w:val="102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  <w:lang w:eastAsia="it-IT"/>
              </w:rPr>
              <w:t>A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it-IT"/>
              </w:rPr>
              <w:t>utorizzazione/DIA/SCIA/Comunicazione originale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cessazione dell’attività</w:t>
            </w:r>
          </w:p>
        </w:tc>
      </w:tr>
    </w:tbl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Altri allegati (Attestazioni del versamento di oneri, diritti, etc.) - a pena di irricevibilità: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662"/>
        <w:gridCol w:w="4780"/>
        <w:gridCol w:w="3421"/>
      </w:tblGrid>
      <w:tr>
        <w:trPr/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Allegati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Denominazione allegato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Casi in cui è previsto l’allegato</w:t>
            </w:r>
          </w:p>
        </w:tc>
      </w:tr>
      <w:tr>
        <w:trPr>
          <w:trHeight w:val="364" w:hRule="atLeast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Attestazione del versamento di oneri, diritti, etc.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Nella misura e con le modalità indicate sul sito dell’Amministrazione</w:t>
            </w:r>
          </w:p>
        </w:tc>
      </w:tr>
    </w:tbl>
    <w:p>
      <w:pPr>
        <w:pStyle w:val="Normal"/>
        <w:widowControl w:val="false"/>
        <w:shd w:fill="FFFFFF" w:val="clear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REQUISITI PER L’AVVIO E L’ESERCIZIO DELL’ATTIVITÀ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Requisiti morali:</w:t>
      </w:r>
    </w:p>
    <w:p>
      <w:pPr>
        <w:pStyle w:val="Normal"/>
        <w:suppressAutoHyphens w:val="false"/>
        <w:spacing w:lineRule="auto" w:line="240" w:before="100" w:after="100"/>
        <w:ind w:right="567" w:hanging="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Costituisce impedimento soggettivo all’esercizio dell’attività, l'applicazione delle misure di prevenzione di cui al libro I, titolo I (Foglio di via obbligatorio, Sorveglianza speciale, Divieto di soggiorno e Obbligo di soggiorno) e la condanna con sentenza definitiva per i delitti elencati nell’art. 51, c.3 bis del Codice di Procedura Penale, ad es. associazione di tipo mafioso, associazione finalizzata al traffico di stupefacenti, etc. (art. 67, D.lgs. n. 159/11). In caso di impresa individuale, tali requisiti devono essere posseduti dal titolare; in caso di società/associazioni/organismi collettivi, da legale rappresentante e soggetti indicati dall’art. 85, c.1 e 2, D.lgs. n. 159/2011.</w:t>
      </w:r>
    </w:p>
    <w:p>
      <w:pPr>
        <w:pStyle w:val="Normal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>Insussistenza delle condizioni previste dagli art. 11</w:t>
      </w:r>
      <w:r>
        <w:rPr>
          <w:rStyle w:val="FootnoteCharacters"/>
          <w:rStyle w:val="FootnoteAnchor"/>
          <w:rFonts w:eastAsia="Times New Roman" w:cs="Arial" w:ascii="Arial" w:hAnsi="Arial"/>
          <w:sz w:val="20"/>
          <w:szCs w:val="20"/>
          <w:lang w:eastAsia="it-IT"/>
        </w:rPr>
        <w:footnoteReference w:id="9"/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e 92</w:t>
      </w:r>
      <w:r>
        <w:rPr>
          <w:rStyle w:val="FootnoteCharacters"/>
          <w:rStyle w:val="FootnoteAnchor"/>
          <w:rFonts w:eastAsia="Times New Roman" w:cs="Arial" w:ascii="Arial" w:hAnsi="Arial"/>
          <w:sz w:val="20"/>
          <w:szCs w:val="20"/>
          <w:lang w:eastAsia="it-IT"/>
        </w:rPr>
        <w:footnoteReference w:id="10"/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del TULPS (R.D. n. 773/1931).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Requisiti oggettivi:</w:t>
      </w:r>
    </w:p>
    <w:p>
      <w:pPr>
        <w:pStyle w:val="Normal"/>
        <w:suppressAutoHyphens w:val="false"/>
        <w:autoSpaceDE w:val="false"/>
        <w:spacing w:lineRule="auto" w:line="240" w:before="100" w:after="100"/>
        <w:ind w:right="658" w:hanging="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Idoneità dei locali dal punto di vista urbanistico, edilizio, di destinazione d’uso e igienico-sanitario.</w:t>
      </w:r>
    </w:p>
    <w:p>
      <w:pPr>
        <w:pStyle w:val="Normal"/>
        <w:shd w:fill="FFFFFF" w:val="clear"/>
        <w:suppressAutoHyphens w:val="false"/>
        <w:spacing w:lineRule="auto" w:line="240" w:before="100" w:after="10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Rispetto norme sulla sicurezza nei luoghi di lavoro, di cui al D.lgs. n. 81/2006.</w:t>
      </w:r>
    </w:p>
    <w:p>
      <w:pPr>
        <w:pStyle w:val="Normal"/>
        <w:shd w:fill="FFFFFF" w:val="clear"/>
        <w:suppressAutoHyphens w:val="false"/>
        <w:spacing w:lineRule="auto" w:line="240" w:before="100" w:after="10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Conformità delle attrezzature alle prescrizioni delle vigenti normative di sicurezza e igienico-sanitarie settoriali.</w:t>
      </w:r>
    </w:p>
    <w:p>
      <w:pPr>
        <w:pStyle w:val="Normal"/>
        <w:widowControl w:val="false"/>
        <w:shd w:fill="FFFFFF" w:val="clear"/>
        <w:spacing w:lineRule="auto" w:line="240" w:before="240" w:after="240"/>
        <w:jc w:val="both"/>
        <w:rPr>
          <w:rFonts w:ascii="Arial" w:hAnsi="Arial" w:eastAsia="Times New Roman" w:cs="Arial"/>
          <w:b/>
          <w:b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TEMPI SPECIFICI E CONTROLLI</w:t>
      </w:r>
    </w:p>
    <w:p>
      <w:pPr>
        <w:pStyle w:val="Normal"/>
        <w:widowControl w:val="false"/>
        <w:tabs>
          <w:tab w:val="left" w:pos="9782" w:leader="none"/>
        </w:tabs>
        <w:spacing w:lineRule="auto" w:line="240" w:before="240" w:after="24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L’attività, oggetto della Scia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può essere iniziata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 xml:space="preserve"> dalla presentazione della stessa.</w:t>
      </w:r>
    </w:p>
    <w:p>
      <w:pPr>
        <w:pStyle w:val="Normal"/>
        <w:suppressAutoHyphens w:val="false"/>
        <w:spacing w:lineRule="auto" w:line="240" w:before="100" w:after="100"/>
        <w:jc w:val="both"/>
        <w:rPr>
          <w:rFonts w:ascii="Arial" w:hAnsi="Arial" w:eastAsia="Times New Roman" w:cs="Arial"/>
          <w:bCs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color w:val="000000"/>
          <w:sz w:val="20"/>
          <w:szCs w:val="20"/>
          <w:lang w:eastAsia="it-IT"/>
        </w:rPr>
        <w:t xml:space="preserve">Qualora, nei controlli venga accertata la carenza dei requisiti/presupposti previsti dalla normativa vigente il Comune, entro 60 gg. dal ricevimento, invita il privato a conformare l'attività e i suoi effetti, entro un termine non inferiore a trenta giorni, decorso inutilmente il quale, l'attività si intende vietata.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Con lo stesso atto, in caso di attestazioni non veritiere o pericolo per la tutela dell'interesse pubblico in materia di ambiente, paesaggio, beni culturali, salute, sicurezza pubblica o difesa nazionale, viene sospesa l'attività. L'atto interrompe il termine di 60 giorni dal ricevimento della Scia per operare i controlli, che ricomincia a decorrere dalla data in cui il privato comunica l'adozione delle misure richieste. In assenza di ulteriori provvedimenti, decorso tale termine, cessano gli effetti della sospensione eventualmente adottata.</w:t>
      </w:r>
    </w:p>
    <w:p>
      <w:pPr>
        <w:pStyle w:val="Normal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Decorsi 60 giorni dal ricevimento della Scia, l'amministrazione può adottare comunque i suddetti provvedimenti in presenza delle condizioni di cui all'art. 21-nonies, L. n. 241/90 (ossia, entro 18 mesi nel caso di illegittimità degli atti e anche oltre tale termine nell’ipotesi di false rappresentazioni dei fatti o dichiarazioni false/mendaci per effetto di condotte costituenti reato).</w:t>
      </w:r>
      <w:r>
        <w:rPr>
          <w:rFonts w:eastAsia="Times New Roman" w:cs="Arial" w:ascii="Arial" w:hAnsi="Arial"/>
          <w:bCs/>
          <w:color w:val="000000"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In caso di dichiarazioni false/mendaci è fatta, comunque, salva l’applicazione delle sanzioni ex art. 19, c.6, L. n. 241/1990.</w:t>
      </w:r>
    </w:p>
    <w:p>
      <w:pPr>
        <w:pStyle w:val="Normal"/>
        <w:suppressAutoHyphens w:val="false"/>
        <w:spacing w:lineRule="auto" w:line="240" w:before="100" w:after="10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L’attività oggetto di comunicazione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può essere iniziata dalla sua presentazione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. In caso di comunicazione irregolare/incompleta, entro ........ giorni dal ricevimento, sono comunicate all'interessato le cause di irregolarità/incompletezza e il termine per l'integrazione prevedendosi, in difetto, l’archiviazione della comunicazione per improcedibilità.</w:t>
      </w:r>
    </w:p>
    <w:p>
      <w:pPr>
        <w:pStyle w:val="Normal"/>
        <w:shd w:fill="FFFFFF" w:val="clear"/>
        <w:suppressAutoHyphens w:val="false"/>
        <w:spacing w:lineRule="auto" w:line="240" w:before="120" w:after="120"/>
        <w:rPr>
          <w:rFonts w:ascii="Arial" w:hAnsi="Arial" w:eastAsia="Times New Roman" w:cs="Arial"/>
          <w:b/>
          <w:b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Le dichiarazioni false/mendaci sono sanzionate ex artt. 71 e ss. del D.P.R. n. 445/2000.</w:t>
      </w:r>
    </w:p>
    <w:sectPr>
      <w:footerReference w:type="default" r:id="rId2"/>
      <w:footerReference w:type="first" r:id="rId3"/>
      <w:footnotePr>
        <w:numFmt w:val="decimal"/>
      </w:footnotePr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spacing w:lineRule="auto" w:line="240" w:before="0" w:after="0"/>
      <w:jc w:val="right"/>
      <w:rPr/>
    </w:pPr>
    <w:bookmarkStart w:id="1" w:name="_Hlk479843000"/>
    <w:bookmarkEnd w:id="1"/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sz w:val="14"/>
              <w:szCs w:val="14"/>
              <w:lang w:eastAsia="it-IT"/>
            </w:rPr>
          </w:pPr>
          <w:bookmarkStart w:id="2" w:name="_Hlk479842971"/>
          <w:bookmarkEnd w:id="2"/>
          <w:r>
            <w:rPr>
              <w:rFonts w:eastAsia="Times New Roman" w:cs="Times New Roman" w:ascii="Times" w:hAnsi="Times"/>
              <w:sz w:val="24"/>
              <w:szCs w:val="24"/>
              <w:lang w:val="en-US" w:eastAsia="en-US"/>
            </w:rPr>
            <w:drawing>
              <wp:inline distT="0" distB="0" distL="0" distR="0">
                <wp:extent cx="443230" cy="188595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Cod. 22216s.14.1.s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ind w:right="87" w:hanging="0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rPr>
              <w:rFonts w:ascii="Arial" w:hAnsi="Arial" w:eastAsia="Times New Roman" w:cs="Arial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sz w:val="14"/>
              <w:szCs w:val="14"/>
              <w:lang w:eastAsia="it-IT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spacing w:lineRule="auto" w:line="240" w:before="0" w:after="0"/>
      <w:rPr>
        <w:rFonts w:ascii="Times New Roman" w:hAnsi="Times New Roman" w:eastAsia="Times New Roman" w:cs="Times New Roman"/>
        <w:sz w:val="10"/>
        <w:szCs w:val="24"/>
        <w:lang w:eastAsia="it-IT"/>
      </w:rPr>
    </w:pPr>
    <w:r>
      <w:rPr>
        <w:rFonts w:eastAsia="Times New Roman" w:cs="Times New Roman" w:ascii="Times New Roman" w:hAnsi="Times New Roman"/>
        <w:sz w:val="10"/>
        <w:szCs w:val="24"/>
        <w:lang w:eastAsia="it-IT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Le istanze, segnalazioni o comunicazioni producono effetti anche in caso di mancato rilascio della ricevuta;</w:t>
      </w:r>
    </w:p>
  </w:footnote>
  <w:footnote w:id="3">
    <w:p>
      <w:pPr>
        <w:pStyle w:val="Footnote"/>
        <w:rPr>
          <w:rFonts w:ascii="Arial" w:hAnsi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ar-SA"/>
        </w:rPr>
        <w:t>Non è necessario autocertificarle nella comunicazione di cessazione dell’attività;</w:t>
      </w:r>
    </w:p>
  </w:footnote>
  <w:footnote w:id="4">
    <w:p>
      <w:pPr>
        <w:pStyle w:val="Footnote"/>
        <w:rPr>
          <w:rFonts w:ascii="Arial" w:hAnsi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ar-SA"/>
        </w:rPr>
        <w:t>Non è necessario autocertificarli nella comunicazione di cessazione dell’attività;</w:t>
      </w:r>
    </w:p>
  </w:footnote>
  <w:footnote w:id="5">
    <w:p>
      <w:pPr>
        <w:pStyle w:val="Footnote"/>
        <w:rPr>
          <w:rFonts w:ascii="Arial" w:hAnsi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ar-SA"/>
        </w:rPr>
        <w:t>Non è necessario autocertificarle nella comunicazione di cessazione dell’attività;</w:t>
      </w:r>
    </w:p>
  </w:footnote>
  <w:footnote w:id="6">
    <w:p>
      <w:pPr>
        <w:pStyle w:val="Footnote"/>
        <w:rPr>
          <w:rFonts w:ascii="Arial" w:hAnsi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ar-SA"/>
        </w:rPr>
        <w:t>Non è necessario autocertificarli nella comunicazione di cessazione dell’attività</w:t>
      </w:r>
    </w:p>
  </w:footnote>
  <w:footnote w:id="7">
    <w:p>
      <w:pPr>
        <w:pStyle w:val="Footnote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ar-SA"/>
        </w:rPr>
        <w:t>Non è necessario autocertificare nella comunicazione di cessazione dell’attività;</w:t>
      </w:r>
    </w:p>
  </w:footnote>
  <w:footnote w:id="8">
    <w:p>
      <w:pPr>
        <w:pStyle w:val="Footnote"/>
        <w:rPr/>
      </w:pPr>
      <w:r>
        <w:rPr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In relazione alle specifiche tipologie di titolo abilitativo.</w:t>
      </w:r>
    </w:p>
  </w:footnote>
  <w:footnote w:id="9">
    <w:p>
      <w:pPr>
        <w:pStyle w:val="Normal"/>
        <w:spacing w:lineRule="auto" w:line="240" w:before="0" w:after="0"/>
        <w:jc w:val="both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en-US"/>
        </w:rPr>
        <w:t xml:space="preserve">Art. 11 - </w:t>
      </w:r>
      <w:r>
        <w:rPr>
          <w:rFonts w:cs="Arial" w:ascii="Arial" w:hAnsi="Arial"/>
          <w:i/>
          <w:sz w:val="16"/>
          <w:szCs w:val="16"/>
          <w:lang w:eastAsia="en-US"/>
        </w:rPr>
        <w:t>Salve le condizioni particolari stabilite dalla legge nei singoli casi, le autorizzazioni di polizia debbono essere negate: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>1 a chi ha riportato una condanna a pena restrittiva della libertà personale superiore a tre anni per delitto non colposo e non ha ottenuto la riabilitazione;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 xml:space="preserve">2 a chi è sottoposto all'ammonizione o a misura di sicurezza personale o è stato dichiarato delinquente abituale, professionale o per tendenza.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 xml:space="preserve">Le autorizzazioni di polizia possono essere negate a chi ha riportato condanna per delitti contro la personalità dello stato o contro l'ordine pubblico, ovvero per delitti contro le persone commessi con violenza, o per furto, rapina, estorsione, sequestro di persona a scopo di rapina o di estorsione, o per violenza o resistenza all'autorità, e a chi non può provare la sua buona condotta.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>Le autorizzazioni devono essere revocate quando nella persona autorizzata vengono a mancare, in tutto o in parte, le condizioni alle quali sono subordinate, e possono essere revocate quando sopraggiungono o vengono a risultare circostanze che avrebbero imposto o consentito il diniego dell’autorizzazione;</w:t>
      </w:r>
    </w:p>
  </w:footnote>
  <w:footnote w:id="10">
    <w:p>
      <w:pPr>
        <w:pStyle w:val="Normal"/>
        <w:suppressAutoHyphens w:val="false"/>
        <w:autoSpaceDE w:val="false"/>
        <w:spacing w:lineRule="auto" w:line="240" w:before="0" w:after="0"/>
        <w:jc w:val="both"/>
        <w:rPr>
          <w:rFonts w:ascii="Arial" w:hAnsi="Arial" w:eastAsia="Times New Roman" w:cs="Arial"/>
          <w:i/>
          <w:i/>
          <w:sz w:val="16"/>
          <w:szCs w:val="16"/>
          <w:lang w:eastAsia="it-IT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Oltre a quanto è preveduto dall'</w:t>
      </w:r>
      <w:r>
        <w:rPr>
          <w:rFonts w:eastAsia="Times New Roman" w:cs="Arial" w:ascii="Arial" w:hAnsi="Arial"/>
          <w:i/>
          <w:iCs/>
          <w:sz w:val="16"/>
          <w:szCs w:val="16"/>
          <w:lang w:eastAsia="it-IT"/>
        </w:rPr>
        <w:t xml:space="preserve">art. 11,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la licenza di esercizio pubblico e l'autorizzazione di cui all'art. 89 non possono essere date a chi sia stato condannato per reati contro la moralità pubblica e il buon costume, o contro la sanità pubblica o per giuochi d'azzardo, o</w:t>
      </w:r>
      <w:r>
        <w:rPr>
          <w:rFonts w:eastAsia="Times New Roman" w:cs="Arial" w:ascii="Arial" w:hAnsi="Arial"/>
          <w:sz w:val="16"/>
          <w:szCs w:val="16"/>
          <w:lang w:eastAsia="it-IT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per delitti commessi in istato di ubriachezza o per contravvenzioni concernenti la prevenzione dell'alcoolismo, o per infrazioni alla legge sul lotto, o per abuso di sostanze stupefacenti.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compat>
    <w:doNotExpandShiftReturn/>
  </w:compat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Arial" w:hAnsi="Arial" w:eastAsia="Times New Roman" w:cs="Arial"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  <w:sz w:val="24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color w:val="000000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Arial" w:hAnsi="Arial" w:eastAsia="Times New Roman" w:cs="Aria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Wingdings" w:hAnsi="Wingdings" w:cs="Wingdings"/>
      <w:b w:val="false"/>
      <w:i w:val="false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>
      <w:b/>
      <w:sz w:val="18"/>
      <w:szCs w:val="18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Carpredefinitoparagrafo">
    <w:name w:val="Car. predefinito paragrafo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Caratterepredefinitoparagrafo">
    <w:name w:val="Carattere predefinito paragrafo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Carpredefinitoparagrafo1">
    <w:name w:val="Car. predefinito paragrafo1"/>
    <w:qFormat/>
    <w:rPr/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PidipaginaCarattere">
    <w:name w:val="Piè di pagina Carattere"/>
    <w:qFormat/>
    <w:rPr>
      <w:rFonts w:ascii="Calibri" w:hAnsi="Calibri" w:eastAsia="Calibri" w:cs="Calibri"/>
      <w:sz w:val="22"/>
      <w:szCs w:val="22"/>
    </w:rPr>
  </w:style>
  <w:style w:type="character" w:styleId="InternetLink">
    <w:name w:val="Internet Link"/>
    <w:rPr>
      <w:strike w:val="false"/>
      <w:dstrike w:val="false"/>
      <w:color w:val="0000FF"/>
      <w:u w:val="none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next w:val="TextBody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Footnote">
    <w:name w:val="Footnote Text"/>
    <w:basedOn w:val="Normal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NormaleWeb">
    <w:name w:val="Normale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200"/>
      <w:ind w:left="720" w:hanging="0"/>
      <w:contextualSpacing/>
    </w:pPr>
    <w:rPr>
      <w:rFonts w:cs="Times New Roma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2017-10-02T10:11:00Z</dcterms:created>
  <dc:creator>Grafiche E.Gaspari S.r.l.</dc:creator>
  <dc:description/>
  <dc:language>en-US</dc:language>
  <cp:lastModifiedBy>Andrea Piredda</cp:lastModifiedBy>
  <cp:lastPrinted>2112-12-31T23:00:00Z</cp:lastPrinted>
  <dcterms:modified xsi:type="dcterms:W3CDTF">2017-10-02T10:36:00Z</dcterms:modified>
  <cp:revision>5</cp:revision>
  <dc:subject/>
  <dc:title/>
</cp:coreProperties>
</file>